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160" w:right="-20"/>
        <w:jc w:val="left"/>
        <w:tabs>
          <w:tab w:pos="222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SECTION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ACTIVE</w:t>
      </w:r>
      <w:r>
        <w:rPr>
          <w:rFonts w:ascii="Arial" w:hAnsi="Arial" w:cs="Arial" w:eastAsia="Arial"/>
          <w:sz w:val="32"/>
          <w:szCs w:val="32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DIAGNOSES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3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Intent:</w:t>
      </w:r>
      <w:r>
        <w:rPr>
          <w:rFonts w:ascii="Arial Black" w:hAnsi="Arial Black" w:cs="Arial Black" w:eastAsia="Arial Black"/>
          <w:sz w:val="24"/>
          <w:szCs w:val="24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July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(I0900: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Peripheral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Vascular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Peripheral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Arterial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I2900: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Mellitus;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I5600: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utrition)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ntended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ulcer(s).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warranted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-making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cycles,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61" w:lineRule="exact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Active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Diagnoses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6.773077pt;height:108.63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NumType w:start="1"/>
          <w:pgMar w:header="745" w:footer="569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92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ona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-6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ulcer(s).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worsening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ulcer.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Assessme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0" w:after="0" w:line="322" w:lineRule="exact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  <w:position w:val="1"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ACT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AGNOSIS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0" w:after="0" w:line="240" w:lineRule="auto"/>
        <w:ind w:right="24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Physician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nurse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physician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ssist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clinic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nurse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specialist,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other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authorized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lice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allo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able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state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licens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laws)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ment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time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ssmen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865" w:space="415"/>
            <w:col w:w="3400"/>
          </w:cols>
        </w:sectPr>
      </w:pPr>
      <w:rPr/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39" w:lineRule="auto"/>
        <w:ind w:left="520" w:right="213" w:firstLine="-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-155.588074pt;width:168.491pt;height:129.19pt;mso-position-horizontal-relative:page;mso-position-vertical-relative:paragraph;z-index:-178" coordorigin="7441,-3112" coordsize="3370,2584">
            <v:group style="position:absolute;left:7447;top:-3106;width:3358;height:2" coordorigin="7447,-3106" coordsize="3358,2">
              <v:shape style="position:absolute;left:7447;top:-3106;width:3358;height:2" coordorigin="7447,-3106" coordsize="3358,0" path="m7447,-3106l10805,-3106e" filled="f" stroked="t" strokeweight=".61pt" strokecolor="#000000">
                <v:path arrowok="t"/>
              </v:shape>
            </v:group>
            <v:group style="position:absolute;left:7452;top:-3101;width:2;height:2562" coordorigin="7452,-3101" coordsize="2,2562">
              <v:shape style="position:absolute;left:7452;top:-3101;width:2;height:2562" coordorigin="7452,-3101" coordsize="0,2562" path="m7452,-3101l7452,-539e" filled="f" stroked="t" strokeweight=".581pt" strokecolor="#000000">
                <v:path arrowok="t"/>
              </v:shape>
            </v:group>
            <v:group style="position:absolute;left:7447;top:-534;width:3358;height:2" coordorigin="7447,-534" coordsize="3358,2">
              <v:shape style="position:absolute;left:7447;top:-534;width:3358;height:2" coordorigin="7447,-534" coordsize="3358,0" path="m7447,-534l10805,-534e" filled="f" stroked="t" strokeweight=".580pt" strokecolor="#000000">
                <v:path arrowok="t"/>
              </v:shape>
            </v:group>
            <v:group style="position:absolute;left:10800;top:-3101;width:2;height:2562" coordorigin="10800,-3101" coordsize="2,2562">
              <v:shape style="position:absolute;left:10800;top:-3101;width:2;height:2562" coordorigin="10800,-3101" coordsize="0,2562" path="m10800,-3101l10800,-539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diagnoses: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laws)-documented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1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</w:t>
      </w:r>
    </w:p>
    <w:p>
      <w:pPr>
        <w:spacing w:before="0" w:after="0" w:line="240" w:lineRule="auto"/>
        <w:ind w:left="520" w:right="11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nclude,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sheet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orders,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consults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official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diagnosis/problem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ilable.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43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between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important,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verba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titioner,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29" w:after="0" w:line="240" w:lineRule="auto"/>
        <w:ind w:left="880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54993pt;margin-top:1.443152pt;width:168.491pt;height:103.9pt;mso-position-horizontal-relative:page;mso-position-vertical-relative:paragraph;z-index:-177" coordorigin="7441,29" coordsize="3370,2078">
            <v:group style="position:absolute;left:7447;top:35;width:3358;height:2" coordorigin="7447,35" coordsize="3358,2">
              <v:shape style="position:absolute;left:7447;top:35;width:3358;height:2" coordorigin="7447,35" coordsize="3358,0" path="m7447,35l10805,35e" filled="f" stroked="t" strokeweight=".61pt" strokecolor="#000000">
                <v:path arrowok="t"/>
              </v:shape>
            </v:group>
            <v:group style="position:absolute;left:7452;top:40;width:2;height:2056" coordorigin="7452,40" coordsize="2,2056">
              <v:shape style="position:absolute;left:7452;top:40;width:2;height:2056" coordorigin="7452,40" coordsize="0,2056" path="m7452,40l7452,2096e" filled="f" stroked="t" strokeweight=".581pt" strokecolor="#000000">
                <v:path arrowok="t"/>
              </v:shape>
            </v:group>
            <v:group style="position:absolute;left:7447;top:2101;width:3358;height:2" coordorigin="7447,2101" coordsize="3358,2">
              <v:shape style="position:absolute;left:7447;top:2101;width:3358;height:2" coordorigin="7447,2101" coordsize="3358,0" path="m7447,2101l10805,2101e" filled="f" stroked="t" strokeweight=".580pt" strokecolor="#000000">
                <v:path arrowok="t"/>
              </v:shape>
            </v:group>
            <v:group style="position:absolute;left:10800;top:40;width:2;height:2056" coordorigin="10800,40" coordsize="2,2056">
              <v:shape style="position:absolute;left:10800;top:40;width:2;height:2056" coordorigin="10800,40" coordsize="0,2056" path="m10800,40l10800,2096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coordination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Diagnostic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obtained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family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members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</w:p>
    <w:p>
      <w:pPr>
        <w:spacing w:before="40" w:after="0" w:line="301" w:lineRule="auto"/>
        <w:ind w:right="79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DEFINITION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MONITORING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Nurse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moni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oring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inclu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</w:p>
    <w:p>
      <w:pPr>
        <w:spacing w:before="0" w:after="0" w:line="191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clinic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mo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itoring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by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licens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2" w:after="0" w:line="254" w:lineRule="exact"/>
        <w:ind w:right="38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nurse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(e.g.,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seri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blood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pressure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evaluations,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medication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etc.)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945" w:space="335"/>
            <w:col w:w="3400"/>
          </w:cols>
        </w:sectPr>
      </w:pPr>
      <w:rPr/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validity,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follow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coordination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59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Determine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dentified,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activ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9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direct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relationship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functional,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cognitiv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behavior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treatments,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nitoring,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esolved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affect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status.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6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sources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Identify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diagnose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517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ecialis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50" w:firstLine="-360"/>
        <w:jc w:val="left"/>
        <w:tabs>
          <w:tab w:pos="8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regarding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revised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however,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Correcting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Errors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Records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QIES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ASAP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System.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pt;margin-top:28.83185pt;width:472pt;height:91.69pt;mso-position-horizontal-relative:page;mso-position-vertical-relative:paragraph;z-index:-176" coordorigin="1400,577" coordsize="9440,1834">
            <v:group style="position:absolute;left:1410;top:587;width:9420;height:516" coordorigin="1410,587" coordsize="9420,516">
              <v:shape style="position:absolute;left:1410;top:587;width:9420;height:516" coordorigin="1410,587" coordsize="9420,516" path="m1410,1103l10830,1103,10830,587,1410,587,1410,1103e" filled="t" fillcolor="#DDE9F7" stroked="f">
                <v:path arrowok="t"/>
                <v:fill/>
              </v:shape>
            </v:group>
            <v:group style="position:absolute;left:1410;top:1103;width:9420;height:264" coordorigin="1410,1103" coordsize="9420,264">
              <v:shape style="position:absolute;left:1410;top:1103;width:9420;height:264" coordorigin="1410,1103" coordsize="9420,264" path="m1410,1367l10830,1367,10830,1103,1410,1103,1410,1367e" filled="t" fillcolor="#DDE9F7" stroked="f">
                <v:path arrowok="t"/>
                <v:fill/>
              </v:shape>
            </v:group>
            <v:group style="position:absolute;left:1410;top:1367;width:9420;height:265" coordorigin="1410,1367" coordsize="9420,265">
              <v:shape style="position:absolute;left:1410;top:1367;width:9420;height:265" coordorigin="1410,1367" coordsize="9420,265" path="m1410,1631l10830,1631,10830,1367,1410,1367,1410,1631e" filled="t" fillcolor="#DDE9F7" stroked="f">
                <v:path arrowok="t"/>
                <v:fill/>
              </v:shape>
            </v:group>
            <v:group style="position:absolute;left:1410;top:1631;width:9420;height:505" coordorigin="1410,1631" coordsize="9420,505">
              <v:shape style="position:absolute;left:1410;top:1631;width:9420;height:505" coordorigin="1410,1631" coordsize="9420,505" path="m1410,2136l10830,2136,10830,1631,1410,1631,1410,2136e" filled="t" fillcolor="#DDE9F7" stroked="f">
                <v:path arrowok="t"/>
                <v:fill/>
              </v:shape>
            </v:group>
            <v:group style="position:absolute;left:1410;top:2136;width:9420;height:265" coordorigin="1410,2136" coordsize="9420,265">
              <v:shape style="position:absolute;left:1410;top:2136;width:9420;height:265" coordorigin="1410,2136" coordsize="9420,265" path="m1410,2400l10830,2400,10830,2136,1410,2136,1410,2400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nstruct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ons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Complete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Admissi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  <w:position w:val="-1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0" w:after="0" w:line="239" w:lineRule="auto"/>
        <w:ind w:left="160" w:right="146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Code</w:t>
      </w:r>
      <w:r>
        <w:rPr>
          <w:rFonts w:ascii="Times New Roman" w:hAnsi="Times New Roman" w:cs="Times New Roman" w:eastAsia="Times New Roman"/>
          <w:sz w:val="23"/>
          <w:szCs w:val="23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diseases</w:t>
      </w:r>
      <w:r>
        <w:rPr>
          <w:rFonts w:ascii="Times New Roman" w:hAnsi="Times New Roman" w:cs="Times New Roman" w:eastAsia="Times New Roman"/>
          <w:sz w:val="23"/>
          <w:szCs w:val="23"/>
          <w:spacing w:val="-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conditions</w:t>
      </w:r>
      <w:r>
        <w:rPr>
          <w:rFonts w:ascii="Times New Roman" w:hAnsi="Times New Roman" w:cs="Times New Roman" w:eastAsia="Times New Roman"/>
          <w:sz w:val="23"/>
          <w:szCs w:val="23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23"/>
          <w:szCs w:val="23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ha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00"/>
          <w:i/>
        </w:rPr>
        <w:t>v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documented</w:t>
      </w:r>
      <w:r>
        <w:rPr>
          <w:rFonts w:ascii="Times New Roman" w:hAnsi="Times New Roman" w:cs="Times New Roman" w:eastAsia="Times New Roman"/>
          <w:sz w:val="23"/>
          <w:szCs w:val="23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diagnos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time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assessment</w:t>
      </w:r>
      <w:r>
        <w:rPr>
          <w:rFonts w:ascii="Times New Roman" w:hAnsi="Times New Roman" w:cs="Times New Roman" w:eastAsia="Times New Roman"/>
          <w:sz w:val="23"/>
          <w:szCs w:val="23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are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active,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i.e.,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have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direct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relationship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patient’s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current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nctional,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cognitive,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mood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behavior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status,</w:t>
      </w:r>
      <w:r>
        <w:rPr>
          <w:rFonts w:ascii="Times New Roman" w:hAnsi="Times New Roman" w:cs="Times New Roman" w:eastAsia="Times New Roman"/>
          <w:sz w:val="23"/>
          <w:szCs w:val="23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medical</w:t>
      </w:r>
      <w:r>
        <w:rPr>
          <w:rFonts w:ascii="Times New Roman" w:hAnsi="Times New Roman" w:cs="Times New Roman" w:eastAsia="Times New Roman"/>
          <w:sz w:val="23"/>
          <w:szCs w:val="23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tre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tment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3"/>
          <w:szCs w:val="23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nur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3"/>
          <w:szCs w:val="23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monitori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g,</w:t>
      </w:r>
      <w:r>
        <w:rPr>
          <w:rFonts w:ascii="Times New Roman" w:hAnsi="Times New Roman" w:cs="Times New Roman" w:eastAsia="Times New Roman"/>
          <w:sz w:val="23"/>
          <w:szCs w:val="23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-1"/>
          <w:w w:val="100"/>
          <w:i/>
        </w:rPr>
        <w:t>r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isk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death</w:t>
      </w:r>
      <w:r>
        <w:rPr>
          <w:rFonts w:ascii="Times New Roman" w:hAnsi="Times New Roman" w:cs="Times New Roman" w:eastAsia="Times New Roman"/>
          <w:sz w:val="23"/>
          <w:szCs w:val="23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3"/>
          <w:szCs w:val="23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time</w:t>
      </w:r>
      <w:r>
        <w:rPr>
          <w:rFonts w:ascii="Times New Roman" w:hAnsi="Times New Roman" w:cs="Times New Roman" w:eastAsia="Times New Roman"/>
          <w:sz w:val="23"/>
          <w:szCs w:val="23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3"/>
          <w:szCs w:val="23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asse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sment.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Check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all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3"/>
          <w:szCs w:val="23"/>
          <w:spacing w:val="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at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i/>
        </w:rPr>
        <w:t>apply.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 Black" w:hAnsi="Arial Black" w:cs="Arial Black" w:eastAsia="Arial Black"/>
          <w:sz w:val="25"/>
          <w:szCs w:val="25"/>
        </w:rPr>
      </w:pPr>
      <w:rPr/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Hea</w:t>
      </w:r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rt/</w:t>
      </w:r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Circ</w:t>
      </w:r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u</w:t>
      </w:r>
      <w:r>
        <w:rPr>
          <w:rFonts w:ascii="Arial Black" w:hAnsi="Arial Black" w:cs="Arial Black" w:eastAsia="Arial Black"/>
          <w:sz w:val="25"/>
          <w:szCs w:val="25"/>
          <w:color w:val="333399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ation</w:t>
      </w:r>
      <w:r>
        <w:rPr>
          <w:rFonts w:ascii="Arial Black" w:hAnsi="Arial Black" w:cs="Arial Black" w:eastAsia="Arial Black"/>
          <w:sz w:val="25"/>
          <w:szCs w:val="25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39" w:lineRule="auto"/>
        <w:ind w:left="880" w:right="19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Check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I0900,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Peripheral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Vascular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Dis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(PVD)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or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P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eripheral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Arterial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Dis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ase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(PAD</w:t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)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peripheral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peripheral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 Black" w:hAnsi="Arial Black" w:cs="Arial Black" w:eastAsia="Arial Black"/>
          <w:sz w:val="25"/>
          <w:szCs w:val="25"/>
        </w:rPr>
      </w:pPr>
      <w:rPr/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Metabolic</w:t>
      </w:r>
      <w:r>
        <w:rPr>
          <w:rFonts w:ascii="Arial Black" w:hAnsi="Arial Black" w:cs="Arial Black" w:eastAsia="Arial Black"/>
          <w:sz w:val="25"/>
          <w:szCs w:val="25"/>
          <w:color w:val="00000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49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Check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I2900,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Diabe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Mellitus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(DM),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mellitus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retinopathy,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nephropathy,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neuropathy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-20"/>
        <w:jc w:val="left"/>
        <w:rPr>
          <w:rFonts w:ascii="Arial Black" w:hAnsi="Arial Black" w:cs="Arial Black" w:eastAsia="Arial Black"/>
          <w:sz w:val="25"/>
          <w:szCs w:val="25"/>
        </w:rPr>
      </w:pPr>
      <w:rPr/>
      <w:r>
        <w:rPr>
          <w:rFonts w:ascii="Arial Black" w:hAnsi="Arial Black" w:cs="Arial Black" w:eastAsia="Arial Black"/>
          <w:sz w:val="25"/>
          <w:szCs w:val="25"/>
          <w:color w:val="333399"/>
          <w:spacing w:val="0"/>
          <w:w w:val="100"/>
          <w:b/>
          <w:bCs/>
        </w:rPr>
        <w:t>Nutritional</w:t>
      </w:r>
      <w:r>
        <w:rPr>
          <w:rFonts w:ascii="Arial Black" w:hAnsi="Arial Black" w:cs="Arial Black" w:eastAsia="Arial Black"/>
          <w:sz w:val="25"/>
          <w:szCs w:val="25"/>
          <w:color w:val="00000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92" w:lineRule="exact"/>
        <w:ind w:left="880" w:right="18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Check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I5600,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Malnutrit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on,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malnutrition,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malnutrition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(protein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calorie).</w:t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16" w:lineRule="exact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Coding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  <w:position w:val="-1"/>
        </w:rPr>
        <w:t>Tips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73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following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tips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determining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condition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coded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24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0pt;margin-top:-40.056870pt;width:472pt;height:28.6pt;mso-position-horizontal-relative:page;mso-position-vertical-relative:paragraph;z-index:-175" coordorigin="1400,-801" coordsize="9440,572">
            <v:group style="position:absolute;left:1410;top:-791;width:9420;height:276" coordorigin="1410,-791" coordsize="9420,276">
              <v:shape style="position:absolute;left:1410;top:-791;width:9420;height:276" coordorigin="1410,-791" coordsize="9420,276" path="m1410,-515l10830,-515,10830,-791,1410,-791,1410,-515e" filled="t" fillcolor="#DDE9F7" stroked="f">
                <v:path arrowok="t"/>
                <v:fill/>
              </v:shape>
            </v:group>
            <v:group style="position:absolute;left:1410;top:-515;width:9420;height:276" coordorigin="1410,-515" coordsize="9420,276">
              <v:shape style="position:absolute;left:1410;top:-515;width:9420;height:276" coordorigin="1410,-515" coordsize="9420,276" path="m1410,-239l10830,-239,10830,-515,1410,-515,1410,-239e" filled="t" fillcolor="#DDE9F7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specialist,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autho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diagnosis.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1240" w:right="119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ically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indicate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limited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transfer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dischar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95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practitioner,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inical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authorized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allowable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licensure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laws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controlled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adjust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regimen.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fficient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additional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firmation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ocumented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confirmed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regimen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needed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modified.</w:t>
      </w:r>
    </w:p>
    <w:p>
      <w:pPr>
        <w:jc w:val="left"/>
        <w:spacing w:after="0"/>
        <w:sectPr>
          <w:pgMar w:header="745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240" w:right="236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documented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association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conditions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“weight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alnutrition,”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“coronary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artery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bypass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[CABG]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coronary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artery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(CAD)”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nferred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“PVD”).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Example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Act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ve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isease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15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patient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ibed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insulin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mellitus.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requires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regular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glucose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nitoring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whether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glucose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oals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regimen.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iabetes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mellitus.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Cod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ng: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I2900,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Diabetes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Mellitu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39" w:lineRule="auto"/>
        <w:ind w:left="880" w:right="52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Rationa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l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e: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physician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documents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mellitus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diagnosis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ongoing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glucose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nitoring.</w:t>
      </w:r>
    </w:p>
    <w:sectPr>
      <w:pgMar w:header="745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3999pt;width:471pt;height:.1pt;mso-position-horizontal-relative:page;mso-position-vertical-relative:page;z-index:-176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44934pt;width:163.728114pt;height:11.99pt;mso-position-horizontal-relative:page;mso-position-vertical-relative:page;z-index:-17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FINAL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6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Dec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Version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2.0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0.649933pt;margin-top:744.744934pt;width:41.34162pt;height:11.99pt;mso-position-horizontal-relative:page;mso-position-vertical-relative:page;z-index:-17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264957pt;width:221.44035pt;height:11.99pt;mso-position-horizontal-relative:page;mso-position-vertical-relative:page;z-index:-17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LTCH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Quali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Reporting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5.09552pt;margin-top:36.264957pt;width:95.91599pt;height:11.99pt;mso-position-horizontal-relative:page;mso-position-vertical-relative:page;z-index:-177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Chap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3: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Section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"LTCH Quality Reporting Program Manual, Section I: Active Diagnoses"</cp:keywords>
  <dc:subject>LTCH Quality Reporting Program Manual, Section I: Active Diagnoses</dc:subject>
  <dc:title>LTCH Quality Reporting Program Manual, Section I: Active Diagnoses</dc:title>
  <dcterms:created xsi:type="dcterms:W3CDTF">2014-12-05T17:05:59Z</dcterms:created>
  <dcterms:modified xsi:type="dcterms:W3CDTF">2014-12-05T17:05:59Z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