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8" w:after="0" w:line="240" w:lineRule="auto"/>
        <w:ind w:left="160" w:right="-2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Z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SESS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INI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7" w:lineRule="auto"/>
        <w:ind w:left="160" w:right="77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Z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0400: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gnat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ons</w:t>
      </w:r>
      <w:r>
        <w:rPr>
          <w:rFonts w:ascii="Arial" w:hAnsi="Arial" w:cs="Arial" w:eastAsia="Arial"/>
          <w:sz w:val="32"/>
          <w:szCs w:val="32"/>
          <w:color w:val="333399"/>
          <w:spacing w:val="-11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mp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ng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the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ent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0.218705pt;height:358.90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36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400.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96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3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jc w:val="left"/>
        <w:spacing w:after="0"/>
        <w:sectPr>
          <w:pgNumType w:start="1"/>
          <w:pgMar w:header="740" w:footer="571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6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mitting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ollowi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1" w:lineRule="exact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7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718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i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8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nnot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opu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9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Z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0500: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gnat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2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3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</w:rPr>
        <w:t>f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</w:rPr>
        <w:t>y</w:t>
      </w:r>
      <w:r>
        <w:rPr>
          <w:rFonts w:ascii="Arial" w:hAnsi="Arial" w:cs="Arial" w:eastAsia="Arial"/>
          <w:sz w:val="32"/>
          <w:szCs w:val="32"/>
          <w:color w:val="333399"/>
          <w:spacing w:val="4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ng</w:t>
      </w:r>
      <w:r>
        <w:rPr>
          <w:rFonts w:ascii="Arial" w:hAnsi="Arial" w:cs="Arial" w:eastAsia="Arial"/>
          <w:sz w:val="32"/>
          <w:szCs w:val="32"/>
          <w:color w:val="333399"/>
          <w:spacing w:val="-12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ent</w:t>
      </w:r>
      <w:r>
        <w:rPr>
          <w:rFonts w:ascii="Arial" w:hAnsi="Arial" w:cs="Arial" w:eastAsia="Arial"/>
          <w:sz w:val="32"/>
          <w:szCs w:val="32"/>
          <w:color w:val="333399"/>
          <w:spacing w:val="-17"/>
          <w:w w:val="100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Co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et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</w:rPr>
        <w:t>on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0.213406pt;height:59.1075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98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both"/>
        <w:spacing w:after="0"/>
        <w:sectPr>
          <w:pgMar w:header="740" w:footer="571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121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submission.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25" w:firstLine="-360"/>
        <w:jc w:val="both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ovid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2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llows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6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tus.</w:t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833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0400,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4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0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0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0500A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sectPr>
      <w:pgMar w:header="740" w:footer="571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59998pt;margin-top:742.679993pt;width:470.88pt;height:.1pt;mso-position-horizontal-relative:page;mso-position-vertical-relative:page;z-index:-135" coordorigin="1411,14854" coordsize="9418,2">
          <v:shape style="position:absolute;left:1411;top:14854;width:9418;height:2" coordorigin="1411,14854" coordsize="9418,0" path="m1411,14854l10829,14854e" filled="f" stroked="t" strokeweight="1.54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529236pt;width:163.630884pt;height:11.96pt;mso-position-horizontal-relative:page;mso-position-vertical-relative:page;z-index:-13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b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7.367676pt;margin-top:744.529236pt;width:44.533202pt;height:11.96pt;mso-position-horizontal-relative:page;mso-position-vertical-relative:page;z-index:-13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Z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049267pt;width:221.39889pt;height:11.96pt;mso-position-horizontal-relative:page;mso-position-vertical-relative:page;z-index:-13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Q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4"/>
                    <w:w w:val="100"/>
                    <w:b/>
                    <w:bCs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1.800842pt;margin-top:36.049267pt;width:99.129925pt;height:11.96pt;mso-position-horizontal-relative:page;mso-position-vertical-relative:page;z-index:-13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pt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Z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3</cp:keywords>
  <dc:subject>The Centers for Medicare &amp; Medicaid Services Long-Term Care Hospital Quality Reporting Program Manual</dc:subject>
  <dc:title>LTCH Quality Reporting Program Manual [Section Z: Assessment Administration]</dc:title>
  <dcterms:created xsi:type="dcterms:W3CDTF">2014-12-05T17:06:55Z</dcterms:created>
  <dcterms:modified xsi:type="dcterms:W3CDTF">2014-12-05T17:06:55Z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